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1D985" w14:textId="568E14F0" w:rsidR="00B17407" w:rsidRPr="00BF508C" w:rsidRDefault="00025064">
      <w:pPr>
        <w:spacing w:before="77"/>
        <w:ind w:left="4168" w:right="4488"/>
        <w:jc w:val="center"/>
        <w:rPr>
          <w:b/>
          <w:u w:val="single"/>
        </w:rPr>
      </w:pPr>
      <w:r w:rsidRPr="00BF508C">
        <w:rPr>
          <w:b/>
          <w:spacing w:val="-184"/>
          <w:u w:val="single"/>
        </w:rPr>
        <w:t>M</w:t>
      </w:r>
      <w:r w:rsidRPr="00BF508C">
        <w:rPr>
          <w:b/>
          <w:spacing w:val="130"/>
          <w:u w:val="single"/>
        </w:rPr>
        <w:t xml:space="preserve"> </w:t>
      </w:r>
      <w:r w:rsidRPr="00BF508C">
        <w:rPr>
          <w:b/>
          <w:spacing w:val="-13"/>
          <w:u w:val="single"/>
        </w:rPr>
        <w:t xml:space="preserve">AY </w:t>
      </w:r>
      <w:r w:rsidRPr="00BF508C">
        <w:rPr>
          <w:b/>
          <w:spacing w:val="-7"/>
          <w:u w:val="single"/>
        </w:rPr>
        <w:t>TAI</w:t>
      </w:r>
    </w:p>
    <w:p w14:paraId="0EC27419" w14:textId="1E51B3B6" w:rsidR="00CC7E41" w:rsidRDefault="00BF508C">
      <w:pPr>
        <w:pStyle w:val="Heading1"/>
        <w:spacing w:before="104" w:line="340" w:lineRule="auto"/>
        <w:ind w:right="3369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5D9D64" wp14:editId="22E62E55">
            <wp:simplePos x="0" y="0"/>
            <wp:positionH relativeFrom="column">
              <wp:posOffset>4539966</wp:posOffset>
            </wp:positionH>
            <wp:positionV relativeFrom="paragraph">
              <wp:posOffset>96577</wp:posOffset>
            </wp:positionV>
            <wp:extent cx="1147621" cy="114762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21" cy="1147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06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9F5D5" wp14:editId="1B5D2A3A">
                <wp:simplePos x="0" y="0"/>
                <wp:positionH relativeFrom="page">
                  <wp:posOffset>4761865</wp:posOffset>
                </wp:positionH>
                <wp:positionV relativeFrom="paragraph">
                  <wp:posOffset>294640</wp:posOffset>
                </wp:positionV>
                <wp:extent cx="0" cy="16129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1919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95pt,23.2pt" to="374.9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" strokeweight=".12pt">
                <w10:wrap anchorx="page"/>
              </v:line>
            </w:pict>
          </mc:Fallback>
        </mc:AlternateContent>
      </w:r>
      <w:r w:rsidR="00CC7E41">
        <w:t>Asia Managing Partner</w:t>
      </w:r>
    </w:p>
    <w:p w14:paraId="54ECA013" w14:textId="1BB232C0" w:rsidR="00CC7E41" w:rsidRDefault="00025064" w:rsidP="00BF508C">
      <w:pPr>
        <w:pStyle w:val="Heading1"/>
        <w:spacing w:before="104" w:line="340" w:lineRule="auto"/>
        <w:ind w:right="52"/>
      </w:pPr>
      <w:r>
        <w:t xml:space="preserve">Herbert Smith Freehills </w:t>
      </w:r>
      <w:r w:rsidR="00BF508C">
        <w:rPr>
          <w:noProof/>
        </w:rPr>
        <w:tab/>
      </w:r>
      <w:r w:rsidR="00BF508C">
        <w:rPr>
          <w:noProof/>
        </w:rPr>
        <w:tab/>
      </w:r>
      <w:r w:rsidR="00BF508C">
        <w:rPr>
          <w:noProof/>
        </w:rPr>
        <w:tab/>
      </w:r>
      <w:r w:rsidR="00BF508C">
        <w:rPr>
          <w:noProof/>
        </w:rPr>
        <w:tab/>
      </w:r>
      <w:r w:rsidR="00BF508C">
        <w:rPr>
          <w:noProof/>
        </w:rPr>
        <w:tab/>
      </w:r>
      <w:r w:rsidR="00BF508C">
        <w:rPr>
          <w:noProof/>
        </w:rPr>
        <w:tab/>
      </w:r>
      <w:r w:rsidR="00BF508C">
        <w:rPr>
          <w:noProof/>
        </w:rPr>
        <w:tab/>
      </w:r>
    </w:p>
    <w:p w14:paraId="14C5CD33" w14:textId="77777777" w:rsidR="00B17407" w:rsidRDefault="00025064">
      <w:pPr>
        <w:pStyle w:val="Heading1"/>
        <w:spacing w:before="104" w:line="340" w:lineRule="auto"/>
        <w:ind w:right="3369"/>
      </w:pPr>
      <w:r>
        <w:rPr>
          <w:spacing w:val="-5"/>
        </w:rPr>
        <w:t xml:space="preserve">23/F, </w:t>
      </w:r>
      <w:r>
        <w:t xml:space="preserve">Gloucester </w:t>
      </w:r>
      <w:r>
        <w:rPr>
          <w:spacing w:val="-7"/>
        </w:rPr>
        <w:t xml:space="preserve">Tower, </w:t>
      </w:r>
      <w:r>
        <w:t>15 Queen's Road Central, Hong Kong</w:t>
      </w:r>
    </w:p>
    <w:p w14:paraId="035DDE45" w14:textId="77777777" w:rsidR="00B17407" w:rsidRDefault="00025064">
      <w:pPr>
        <w:tabs>
          <w:tab w:val="left" w:pos="664"/>
          <w:tab w:val="left" w:pos="4420"/>
        </w:tabs>
        <w:spacing w:before="2"/>
        <w:ind w:left="100"/>
      </w:pPr>
      <w:r>
        <w:rPr>
          <w:spacing w:val="-6"/>
        </w:rPr>
        <w:t>Tel:</w:t>
      </w:r>
      <w:r>
        <w:rPr>
          <w:spacing w:val="-6"/>
        </w:rPr>
        <w:tab/>
      </w:r>
      <w:r>
        <w:t>+852</w:t>
      </w:r>
      <w:r>
        <w:rPr>
          <w:spacing w:val="-3"/>
        </w:rPr>
        <w:t xml:space="preserve"> </w:t>
      </w:r>
      <w:r>
        <w:t>2101</w:t>
      </w:r>
      <w:r>
        <w:rPr>
          <w:spacing w:val="1"/>
        </w:rPr>
        <w:t xml:space="preserve"> </w:t>
      </w:r>
      <w:r w:rsidR="00CC7E41">
        <w:t xml:space="preserve">4031 </w:t>
      </w:r>
      <w:r w:rsidR="00CC7E41">
        <w:tab/>
      </w:r>
      <w:r>
        <w:t>Fax: +852 2845</w:t>
      </w:r>
      <w:r>
        <w:rPr>
          <w:spacing w:val="1"/>
        </w:rPr>
        <w:t xml:space="preserve"> </w:t>
      </w:r>
      <w:r>
        <w:t>9099</w:t>
      </w:r>
    </w:p>
    <w:p w14:paraId="4324AE25" w14:textId="77777777" w:rsidR="00B17407" w:rsidRDefault="00025064">
      <w:pPr>
        <w:tabs>
          <w:tab w:val="left" w:pos="2171"/>
        </w:tabs>
        <w:spacing w:before="107"/>
        <w:ind w:left="100"/>
      </w:pPr>
      <w:r>
        <w:t>Email:</w:t>
      </w:r>
      <w:r>
        <w:tab/>
      </w:r>
      <w:hyperlink r:id="rId9">
        <w:r>
          <w:t>may.tai@hsf.com</w:t>
        </w:r>
      </w:hyperlink>
    </w:p>
    <w:p w14:paraId="71399A4E" w14:textId="77777777" w:rsidR="00B17407" w:rsidRDefault="00025064">
      <w:pPr>
        <w:tabs>
          <w:tab w:val="left" w:pos="2170"/>
        </w:tabs>
        <w:spacing w:before="107"/>
        <w:ind w:left="100"/>
      </w:pPr>
      <w:r>
        <w:t>Date of</w:t>
      </w:r>
      <w:r>
        <w:rPr>
          <w:spacing w:val="1"/>
        </w:rPr>
        <w:t xml:space="preserve"> </w:t>
      </w:r>
      <w:r>
        <w:t>Birth:</w:t>
      </w:r>
      <w:r>
        <w:tab/>
        <w:t>2 September 1978</w:t>
      </w:r>
    </w:p>
    <w:p w14:paraId="49E18C82" w14:textId="77777777" w:rsidR="00B17407" w:rsidRDefault="00025064">
      <w:pPr>
        <w:tabs>
          <w:tab w:val="left" w:pos="2170"/>
        </w:tabs>
        <w:spacing w:before="107"/>
        <w:ind w:left="100"/>
      </w:pPr>
      <w:r>
        <w:t>Nationality:</w:t>
      </w:r>
      <w:r>
        <w:tab/>
        <w:t>Malaysian</w:t>
      </w:r>
    </w:p>
    <w:p w14:paraId="6CD83FE6" w14:textId="77777777" w:rsidR="00B17407" w:rsidRDefault="00B17407">
      <w:pPr>
        <w:pStyle w:val="BodyText"/>
        <w:ind w:left="0"/>
      </w:pPr>
    </w:p>
    <w:p w14:paraId="3F18513E" w14:textId="77777777" w:rsidR="00B17407" w:rsidRDefault="00B17407">
      <w:pPr>
        <w:pStyle w:val="BodyText"/>
        <w:spacing w:before="9"/>
        <w:ind w:left="0"/>
        <w:rPr>
          <w:sz w:val="21"/>
        </w:rPr>
      </w:pPr>
    </w:p>
    <w:p w14:paraId="22F18693" w14:textId="77777777" w:rsidR="00B17407" w:rsidRPr="002122E5" w:rsidRDefault="00025064">
      <w:pPr>
        <w:pStyle w:val="Heading2"/>
      </w:pPr>
      <w:r w:rsidRPr="002122E5">
        <w:rPr>
          <w:spacing w:val="-144"/>
        </w:rPr>
        <w:t>A</w:t>
      </w:r>
      <w:r w:rsidRPr="002122E5">
        <w:rPr>
          <w:spacing w:val="87"/>
        </w:rPr>
        <w:t xml:space="preserve"> </w:t>
      </w:r>
      <w:proofErr w:type="spellStart"/>
      <w:r w:rsidRPr="002122E5">
        <w:t>dmissions</w:t>
      </w:r>
      <w:proofErr w:type="spellEnd"/>
    </w:p>
    <w:p w14:paraId="26C48115" w14:textId="77777777" w:rsidR="00B17407" w:rsidRDefault="00025064">
      <w:pPr>
        <w:pStyle w:val="BodyText"/>
        <w:spacing w:before="128" w:line="376" w:lineRule="auto"/>
        <w:ind w:left="100" w:right="5401"/>
      </w:pPr>
      <w:r>
        <w:t>Solicitor of England and Wales (2003) Solicitor of Hong Kong (2014)</w:t>
      </w:r>
    </w:p>
    <w:p w14:paraId="5B98C7A3" w14:textId="77777777" w:rsidR="00B17407" w:rsidRDefault="00B17407">
      <w:pPr>
        <w:pStyle w:val="BodyText"/>
        <w:spacing w:before="3"/>
        <w:ind w:left="0"/>
        <w:rPr>
          <w:sz w:val="23"/>
        </w:rPr>
      </w:pPr>
    </w:p>
    <w:p w14:paraId="0F2F9D39" w14:textId="77777777" w:rsidR="00B17407" w:rsidRPr="002122E5" w:rsidRDefault="00025064">
      <w:pPr>
        <w:pStyle w:val="Heading2"/>
        <w:spacing w:before="93"/>
      </w:pPr>
      <w:r w:rsidRPr="002122E5">
        <w:rPr>
          <w:spacing w:val="-144"/>
        </w:rPr>
        <w:t>D</w:t>
      </w:r>
      <w:r w:rsidRPr="002122E5">
        <w:rPr>
          <w:spacing w:val="91"/>
        </w:rPr>
        <w:t xml:space="preserve"> </w:t>
      </w:r>
      <w:proofErr w:type="spellStart"/>
      <w:r w:rsidRPr="002122E5">
        <w:t>ispute</w:t>
      </w:r>
      <w:proofErr w:type="spellEnd"/>
      <w:r w:rsidRPr="002122E5">
        <w:t xml:space="preserve"> Resolution Experience</w:t>
      </w:r>
    </w:p>
    <w:p w14:paraId="30AF417D" w14:textId="77777777" w:rsidR="00B17407" w:rsidRDefault="00025064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127" w:line="376" w:lineRule="auto"/>
        <w:ind w:right="420" w:hanging="480"/>
        <w:rPr>
          <w:sz w:val="20"/>
        </w:rPr>
      </w:pPr>
      <w:r>
        <w:rPr>
          <w:sz w:val="20"/>
        </w:rPr>
        <w:t xml:space="preserve">Experience of HKIAC, ICC, </w:t>
      </w:r>
      <w:proofErr w:type="spellStart"/>
      <w:r>
        <w:rPr>
          <w:spacing w:val="-3"/>
          <w:sz w:val="20"/>
        </w:rPr>
        <w:t>CIETAC</w:t>
      </w:r>
      <w:proofErr w:type="spellEnd"/>
      <w:r>
        <w:rPr>
          <w:spacing w:val="-3"/>
          <w:sz w:val="20"/>
        </w:rPr>
        <w:t xml:space="preserve">, </w:t>
      </w:r>
      <w:proofErr w:type="spellStart"/>
      <w:r>
        <w:rPr>
          <w:sz w:val="20"/>
        </w:rPr>
        <w:t>SIAC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LCIA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ISCID</w:t>
      </w:r>
      <w:proofErr w:type="spellEnd"/>
      <w:r>
        <w:rPr>
          <w:sz w:val="20"/>
        </w:rPr>
        <w:t xml:space="preserve">, SCC and </w:t>
      </w:r>
      <w:proofErr w:type="spellStart"/>
      <w:r>
        <w:rPr>
          <w:sz w:val="20"/>
        </w:rPr>
        <w:t>UNCITRAL</w:t>
      </w:r>
      <w:proofErr w:type="spellEnd"/>
      <w:r>
        <w:rPr>
          <w:sz w:val="20"/>
        </w:rPr>
        <w:t xml:space="preserve"> proceedings as counsel</w:t>
      </w:r>
    </w:p>
    <w:p w14:paraId="4E703193" w14:textId="77777777" w:rsidR="00B17407" w:rsidRDefault="00025064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0" w:line="228" w:lineRule="exact"/>
        <w:rPr>
          <w:sz w:val="20"/>
        </w:rPr>
      </w:pPr>
      <w:r>
        <w:rPr>
          <w:sz w:val="20"/>
        </w:rPr>
        <w:t>Experience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Hong</w:t>
      </w:r>
      <w:r>
        <w:rPr>
          <w:spacing w:val="-5"/>
          <w:sz w:val="20"/>
        </w:rPr>
        <w:t xml:space="preserve"> </w:t>
      </w:r>
      <w:r>
        <w:rPr>
          <w:sz w:val="20"/>
        </w:rPr>
        <w:t>Kong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Singapore</w:t>
      </w:r>
      <w:r>
        <w:rPr>
          <w:spacing w:val="-4"/>
          <w:sz w:val="20"/>
        </w:rPr>
        <w:t xml:space="preserve"> </w:t>
      </w:r>
      <w:r>
        <w:rPr>
          <w:sz w:val="20"/>
        </w:rPr>
        <w:t>seated</w:t>
      </w:r>
      <w:r>
        <w:rPr>
          <w:spacing w:val="-5"/>
          <w:sz w:val="20"/>
        </w:rPr>
        <w:t xml:space="preserve"> </w:t>
      </w:r>
      <w:r>
        <w:rPr>
          <w:sz w:val="20"/>
        </w:rPr>
        <w:t>HKIAC,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SIAC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ICC</w:t>
      </w:r>
      <w:r>
        <w:rPr>
          <w:spacing w:val="-6"/>
          <w:sz w:val="20"/>
        </w:rPr>
        <w:t xml:space="preserve"> </w:t>
      </w:r>
      <w:r>
        <w:rPr>
          <w:sz w:val="20"/>
        </w:rPr>
        <w:t>proceedings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arbitrator</w:t>
      </w:r>
    </w:p>
    <w:p w14:paraId="412AB416" w14:textId="77777777" w:rsidR="00B17407" w:rsidRDefault="00025064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130"/>
        <w:rPr>
          <w:sz w:val="20"/>
        </w:rPr>
      </w:pPr>
      <w:r>
        <w:rPr>
          <w:sz w:val="20"/>
        </w:rPr>
        <w:t>Experience of emergency arbitrator proceedings as emergency</w:t>
      </w:r>
      <w:r>
        <w:rPr>
          <w:spacing w:val="-3"/>
          <w:sz w:val="20"/>
        </w:rPr>
        <w:t xml:space="preserve"> </w:t>
      </w:r>
      <w:r>
        <w:rPr>
          <w:sz w:val="20"/>
        </w:rPr>
        <w:t>arbitrator</w:t>
      </w:r>
    </w:p>
    <w:p w14:paraId="1E4B881C" w14:textId="77777777" w:rsidR="00B17407" w:rsidRDefault="00025064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130" w:line="376" w:lineRule="auto"/>
        <w:ind w:right="420" w:hanging="480"/>
        <w:rPr>
          <w:sz w:val="20"/>
        </w:rPr>
      </w:pPr>
      <w:proofErr w:type="spellStart"/>
      <w:r>
        <w:rPr>
          <w:sz w:val="20"/>
        </w:rPr>
        <w:t>Specialises</w:t>
      </w:r>
      <w:proofErr w:type="spellEnd"/>
      <w:r>
        <w:rPr>
          <w:sz w:val="20"/>
        </w:rPr>
        <w:t xml:space="preserve"> in China-related disputes, investment </w:t>
      </w:r>
      <w:r w:rsidR="00E10225">
        <w:rPr>
          <w:sz w:val="20"/>
        </w:rPr>
        <w:t xml:space="preserve">treaty </w:t>
      </w:r>
      <w:r>
        <w:rPr>
          <w:sz w:val="20"/>
        </w:rPr>
        <w:t>disputes, and cases in the energy, hotel and leisure, and telecoms</w:t>
      </w:r>
      <w:r>
        <w:rPr>
          <w:spacing w:val="-5"/>
          <w:sz w:val="20"/>
        </w:rPr>
        <w:t xml:space="preserve"> </w:t>
      </w:r>
      <w:r>
        <w:rPr>
          <w:sz w:val="20"/>
        </w:rPr>
        <w:t>sectors</w:t>
      </w:r>
    </w:p>
    <w:p w14:paraId="52B16506" w14:textId="77777777" w:rsidR="00B17407" w:rsidRDefault="00025064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0" w:line="228" w:lineRule="exact"/>
        <w:rPr>
          <w:sz w:val="20"/>
        </w:rPr>
      </w:pPr>
      <w:proofErr w:type="spellStart"/>
      <w:r>
        <w:rPr>
          <w:sz w:val="20"/>
        </w:rPr>
        <w:t>CEDR</w:t>
      </w:r>
      <w:proofErr w:type="spellEnd"/>
      <w:r>
        <w:rPr>
          <w:sz w:val="20"/>
        </w:rPr>
        <w:t xml:space="preserve"> accredited mediator since 2014</w:t>
      </w:r>
    </w:p>
    <w:p w14:paraId="7A7D82A0" w14:textId="77777777" w:rsidR="00B17407" w:rsidRDefault="00B17407">
      <w:pPr>
        <w:pStyle w:val="BodyText"/>
        <w:ind w:left="0"/>
      </w:pPr>
    </w:p>
    <w:p w14:paraId="3C092019" w14:textId="77777777" w:rsidR="00B17407" w:rsidRDefault="00B17407">
      <w:pPr>
        <w:pStyle w:val="BodyText"/>
        <w:spacing w:before="10"/>
        <w:ind w:left="0"/>
        <w:rPr>
          <w:sz w:val="22"/>
        </w:rPr>
      </w:pPr>
    </w:p>
    <w:p w14:paraId="45212F2E" w14:textId="77777777" w:rsidR="00B17407" w:rsidRPr="002122E5" w:rsidRDefault="00025064">
      <w:pPr>
        <w:pStyle w:val="Heading2"/>
      </w:pPr>
      <w:r w:rsidRPr="002122E5">
        <w:rPr>
          <w:spacing w:val="-144"/>
        </w:rPr>
        <w:t>C</w:t>
      </w:r>
      <w:r w:rsidRPr="002122E5">
        <w:rPr>
          <w:spacing w:val="91"/>
        </w:rPr>
        <w:t xml:space="preserve"> </w:t>
      </w:r>
      <w:proofErr w:type="spellStart"/>
      <w:r w:rsidRPr="002122E5">
        <w:t>areer</w:t>
      </w:r>
      <w:proofErr w:type="spellEnd"/>
    </w:p>
    <w:p w14:paraId="251BD838" w14:textId="77777777" w:rsidR="00B17407" w:rsidRDefault="00025064">
      <w:pPr>
        <w:pStyle w:val="BodyText"/>
        <w:tabs>
          <w:tab w:val="left" w:pos="1539"/>
        </w:tabs>
        <w:spacing w:before="127"/>
        <w:ind w:left="100"/>
      </w:pPr>
      <w:r>
        <w:t>1996-99</w:t>
      </w:r>
      <w:r>
        <w:tab/>
        <w:t>- BA (Hons) Jurisprudence, Oxford</w:t>
      </w:r>
      <w:r>
        <w:rPr>
          <w:spacing w:val="-32"/>
        </w:rPr>
        <w:t xml:space="preserve"> </w:t>
      </w:r>
      <w:r>
        <w:t>University</w:t>
      </w:r>
    </w:p>
    <w:p w14:paraId="3842B463" w14:textId="77777777" w:rsidR="00B17407" w:rsidRDefault="00025064">
      <w:pPr>
        <w:pStyle w:val="BodyText"/>
        <w:tabs>
          <w:tab w:val="left" w:pos="1539"/>
        </w:tabs>
        <w:spacing w:before="130"/>
        <w:ind w:left="100"/>
      </w:pPr>
      <w:r>
        <w:t>1999-00</w:t>
      </w:r>
      <w:r>
        <w:tab/>
        <w:t>- Legal Practice Course, Oxford Institute of Legal</w:t>
      </w:r>
      <w:r>
        <w:rPr>
          <w:spacing w:val="-21"/>
        </w:rPr>
        <w:t xml:space="preserve"> </w:t>
      </w:r>
      <w:r>
        <w:t>Practice</w:t>
      </w:r>
    </w:p>
    <w:p w14:paraId="720EFDD9" w14:textId="77777777" w:rsidR="00B17407" w:rsidRDefault="00025064">
      <w:pPr>
        <w:pStyle w:val="BodyText"/>
        <w:tabs>
          <w:tab w:val="left" w:pos="1539"/>
        </w:tabs>
        <w:spacing w:before="130"/>
        <w:ind w:left="100"/>
      </w:pPr>
      <w:r>
        <w:t>2001-09</w:t>
      </w:r>
      <w:r>
        <w:tab/>
        <w:t xml:space="preserve">- Trainee and Associate, Herbert Smith, </w:t>
      </w:r>
      <w:proofErr w:type="gramStart"/>
      <w:r>
        <w:t>London</w:t>
      </w:r>
      <w:proofErr w:type="gramEnd"/>
      <w:r>
        <w:t xml:space="preserve"> and Singapore</w:t>
      </w:r>
      <w:r>
        <w:rPr>
          <w:spacing w:val="-39"/>
        </w:rPr>
        <w:t xml:space="preserve"> </w:t>
      </w:r>
      <w:r>
        <w:t>(2005-07)</w:t>
      </w:r>
    </w:p>
    <w:p w14:paraId="442D5D66" w14:textId="77777777" w:rsidR="00B17407" w:rsidRDefault="00025064">
      <w:pPr>
        <w:pStyle w:val="BodyText"/>
        <w:tabs>
          <w:tab w:val="left" w:pos="1539"/>
        </w:tabs>
        <w:spacing w:before="130" w:line="376" w:lineRule="auto"/>
        <w:ind w:left="1700" w:right="417" w:hanging="1601"/>
      </w:pPr>
      <w:r>
        <w:t>2010-present</w:t>
      </w:r>
      <w:r>
        <w:tab/>
        <w:t>- Partner, Herbert Smith Freehills, Shanghai (2010), Beijing (2011-13), Hong Kong (2014</w:t>
      </w:r>
      <w:r>
        <w:rPr>
          <w:spacing w:val="1"/>
        </w:rPr>
        <w:t xml:space="preserve"> </w:t>
      </w:r>
      <w:r>
        <w:t>onwards)</w:t>
      </w:r>
    </w:p>
    <w:p w14:paraId="1B64FDBB" w14:textId="77777777" w:rsidR="00E10225" w:rsidRDefault="00E10225">
      <w:pPr>
        <w:pStyle w:val="BodyText"/>
        <w:tabs>
          <w:tab w:val="left" w:pos="1539"/>
        </w:tabs>
        <w:spacing w:before="130" w:line="376" w:lineRule="auto"/>
        <w:ind w:left="1700" w:right="417" w:hanging="1601"/>
      </w:pPr>
      <w:r>
        <w:t xml:space="preserve">2017-2020 </w:t>
      </w:r>
      <w:r>
        <w:tab/>
        <w:t xml:space="preserve">- China Managing Partner, </w:t>
      </w:r>
      <w:r w:rsidRPr="00E10225">
        <w:t>Herbert Smith Freehills</w:t>
      </w:r>
    </w:p>
    <w:p w14:paraId="0C66A316" w14:textId="77777777" w:rsidR="00E10225" w:rsidRDefault="00E10225">
      <w:pPr>
        <w:pStyle w:val="BodyText"/>
        <w:tabs>
          <w:tab w:val="left" w:pos="1539"/>
        </w:tabs>
        <w:spacing w:before="130" w:line="376" w:lineRule="auto"/>
        <w:ind w:left="1700" w:right="417" w:hanging="1601"/>
      </w:pPr>
      <w:r>
        <w:t xml:space="preserve">2020-present </w:t>
      </w:r>
      <w:r>
        <w:tab/>
        <w:t>- Asia</w:t>
      </w:r>
      <w:r w:rsidRPr="00E10225">
        <w:t xml:space="preserve"> Managing Partner, Herbert Smith Freehills</w:t>
      </w:r>
    </w:p>
    <w:p w14:paraId="588B46A7" w14:textId="77777777" w:rsidR="00B17407" w:rsidRDefault="00B17407">
      <w:pPr>
        <w:pStyle w:val="BodyText"/>
        <w:spacing w:before="3"/>
        <w:ind w:left="0"/>
        <w:rPr>
          <w:sz w:val="23"/>
        </w:rPr>
      </w:pPr>
    </w:p>
    <w:p w14:paraId="72224F54" w14:textId="77777777" w:rsidR="00B17407" w:rsidRPr="002122E5" w:rsidRDefault="00025064">
      <w:pPr>
        <w:pStyle w:val="Heading2"/>
        <w:spacing w:before="93"/>
      </w:pPr>
      <w:r w:rsidRPr="002122E5">
        <w:rPr>
          <w:spacing w:val="-122"/>
        </w:rPr>
        <w:t>L</w:t>
      </w:r>
      <w:r w:rsidRPr="002122E5">
        <w:rPr>
          <w:spacing w:val="69"/>
        </w:rPr>
        <w:t xml:space="preserve"> </w:t>
      </w:r>
      <w:proofErr w:type="spellStart"/>
      <w:r w:rsidRPr="002122E5">
        <w:t>anguages</w:t>
      </w:r>
      <w:proofErr w:type="spellEnd"/>
    </w:p>
    <w:p w14:paraId="294A417A" w14:textId="77777777" w:rsidR="00B17407" w:rsidRDefault="00025064">
      <w:pPr>
        <w:pStyle w:val="BodyText"/>
        <w:spacing w:before="128"/>
        <w:ind w:left="100"/>
      </w:pPr>
      <w:r>
        <w:t xml:space="preserve">Fluent: </w:t>
      </w:r>
      <w:r w:rsidR="00E10225">
        <w:tab/>
      </w:r>
      <w:r>
        <w:t xml:space="preserve">English, </w:t>
      </w:r>
      <w:proofErr w:type="gramStart"/>
      <w:r>
        <w:t>Cantonese</w:t>
      </w:r>
      <w:proofErr w:type="gramEnd"/>
      <w:r>
        <w:t xml:space="preserve"> and mandarin</w:t>
      </w:r>
    </w:p>
    <w:p w14:paraId="20BEB7D2" w14:textId="77777777" w:rsidR="00B17407" w:rsidRDefault="00025064">
      <w:pPr>
        <w:pStyle w:val="BodyText"/>
        <w:tabs>
          <w:tab w:val="left" w:pos="819"/>
        </w:tabs>
        <w:spacing w:before="130"/>
        <w:ind w:left="100"/>
      </w:pPr>
      <w:r>
        <w:t>Fair:</w:t>
      </w:r>
      <w:r>
        <w:tab/>
      </w:r>
      <w:r w:rsidR="00E10225">
        <w:tab/>
      </w:r>
      <w:r>
        <w:t>Bahasa Malaysia and Bahasa</w:t>
      </w:r>
      <w:r>
        <w:rPr>
          <w:spacing w:val="-4"/>
        </w:rPr>
        <w:t xml:space="preserve"> </w:t>
      </w:r>
      <w:r>
        <w:t>Indonesia</w:t>
      </w:r>
    </w:p>
    <w:p w14:paraId="4F9EA63D" w14:textId="77777777" w:rsidR="00B17407" w:rsidRDefault="00B17407">
      <w:pPr>
        <w:pStyle w:val="BodyText"/>
        <w:ind w:left="0"/>
      </w:pPr>
    </w:p>
    <w:p w14:paraId="145C5FC9" w14:textId="77777777" w:rsidR="00B17407" w:rsidRDefault="00B17407">
      <w:pPr>
        <w:pStyle w:val="BodyText"/>
        <w:spacing w:before="9"/>
        <w:ind w:left="0"/>
        <w:rPr>
          <w:sz w:val="22"/>
        </w:rPr>
      </w:pPr>
    </w:p>
    <w:p w14:paraId="36D34B88" w14:textId="77777777" w:rsidR="008E16D0" w:rsidRDefault="008E16D0">
      <w:pPr>
        <w:rPr>
          <w:b/>
          <w:u w:val="thick"/>
        </w:rPr>
      </w:pPr>
      <w:r>
        <w:rPr>
          <w:b/>
          <w:u w:val="thick"/>
        </w:rPr>
        <w:br w:type="page"/>
      </w:r>
    </w:p>
    <w:p w14:paraId="63056C02" w14:textId="77777777" w:rsidR="00B17407" w:rsidRPr="008E16D0" w:rsidRDefault="00025064" w:rsidP="008E16D0">
      <w:pPr>
        <w:pStyle w:val="Heading2"/>
        <w:spacing w:before="68"/>
        <w:ind w:left="0"/>
        <w:rPr>
          <w:u w:val="thick"/>
        </w:rPr>
      </w:pPr>
      <w:r w:rsidRPr="008E16D0">
        <w:rPr>
          <w:u w:val="thick"/>
        </w:rPr>
        <w:lastRenderedPageBreak/>
        <w:t>Credentials as arbitrator</w:t>
      </w:r>
    </w:p>
    <w:p w14:paraId="620D6D21" w14:textId="77777777" w:rsidR="002122E5" w:rsidRDefault="002122E5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553"/>
        <w:rPr>
          <w:sz w:val="20"/>
        </w:rPr>
      </w:pPr>
      <w:r w:rsidRPr="002122E5">
        <w:rPr>
          <w:sz w:val="20"/>
        </w:rPr>
        <w:t xml:space="preserve">Sole arbitrator in HKIAC dispute arising out of the sale of a Chinese company </w:t>
      </w:r>
    </w:p>
    <w:p w14:paraId="3820741D" w14:textId="77777777" w:rsidR="002122E5" w:rsidRPr="002122E5" w:rsidRDefault="002122E5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553"/>
        <w:rPr>
          <w:sz w:val="20"/>
        </w:rPr>
      </w:pPr>
      <w:r>
        <w:rPr>
          <w:sz w:val="20"/>
        </w:rPr>
        <w:t xml:space="preserve">Chair of Tribunal in HKIAC dispute relating to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IP rights in a licensing agreement</w:t>
      </w:r>
    </w:p>
    <w:p w14:paraId="5013504E" w14:textId="77777777" w:rsidR="00B17407" w:rsidRDefault="00025064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553"/>
        <w:rPr>
          <w:sz w:val="20"/>
        </w:rPr>
      </w:pPr>
      <w:r>
        <w:rPr>
          <w:sz w:val="20"/>
        </w:rPr>
        <w:t xml:space="preserve">Sole arbitrator in an </w:t>
      </w:r>
      <w:proofErr w:type="spellStart"/>
      <w:r>
        <w:rPr>
          <w:sz w:val="20"/>
        </w:rPr>
        <w:t>SIAC</w:t>
      </w:r>
      <w:proofErr w:type="spellEnd"/>
      <w:r>
        <w:rPr>
          <w:sz w:val="20"/>
        </w:rPr>
        <w:t xml:space="preserve"> proceeding between Chinese and Singaporean parties over the right to use trademark and seeking non-pecuniary</w:t>
      </w:r>
      <w:r>
        <w:rPr>
          <w:spacing w:val="-11"/>
          <w:sz w:val="20"/>
        </w:rPr>
        <w:t xml:space="preserve"> </w:t>
      </w:r>
      <w:r>
        <w:rPr>
          <w:sz w:val="20"/>
        </w:rPr>
        <w:t>relief.</w:t>
      </w:r>
    </w:p>
    <w:p w14:paraId="0FFC9D07" w14:textId="77777777" w:rsidR="00B17407" w:rsidRDefault="0002506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3" w:line="357" w:lineRule="auto"/>
        <w:ind w:right="538" w:hanging="360"/>
        <w:rPr>
          <w:sz w:val="20"/>
        </w:rPr>
      </w:pPr>
      <w:r>
        <w:rPr>
          <w:sz w:val="20"/>
        </w:rPr>
        <w:t xml:space="preserve">Sole arbitrator in an </w:t>
      </w:r>
      <w:proofErr w:type="spellStart"/>
      <w:r>
        <w:rPr>
          <w:sz w:val="20"/>
        </w:rPr>
        <w:t>SIAC</w:t>
      </w:r>
      <w:proofErr w:type="spellEnd"/>
      <w:r>
        <w:rPr>
          <w:sz w:val="20"/>
        </w:rPr>
        <w:t xml:space="preserve"> proceeding between a Singaporean party and an Indonesian party over an investment agreement. Quantum of the dispute was circa US$20</w:t>
      </w:r>
      <w:r>
        <w:rPr>
          <w:spacing w:val="-5"/>
          <w:sz w:val="20"/>
        </w:rPr>
        <w:t xml:space="preserve"> </w:t>
      </w:r>
      <w:r>
        <w:rPr>
          <w:sz w:val="20"/>
        </w:rPr>
        <w:t>million.</w:t>
      </w:r>
    </w:p>
    <w:p w14:paraId="6920BD1A" w14:textId="77777777" w:rsidR="00B17407" w:rsidRDefault="0002506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722" w:hanging="360"/>
        <w:rPr>
          <w:sz w:val="20"/>
        </w:rPr>
      </w:pPr>
      <w:r>
        <w:rPr>
          <w:sz w:val="20"/>
        </w:rPr>
        <w:t>Emergency arbitrator in a sale of goods dispute governed by ICC rules between a Chinese and US</w:t>
      </w:r>
      <w:r>
        <w:rPr>
          <w:spacing w:val="-3"/>
          <w:sz w:val="20"/>
        </w:rPr>
        <w:t xml:space="preserve"> </w:t>
      </w:r>
      <w:r>
        <w:rPr>
          <w:sz w:val="20"/>
        </w:rPr>
        <w:t>party</w:t>
      </w:r>
    </w:p>
    <w:p w14:paraId="28038B0E" w14:textId="77777777" w:rsidR="00B17407" w:rsidRDefault="0002506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765" w:hanging="360"/>
        <w:rPr>
          <w:sz w:val="20"/>
        </w:rPr>
      </w:pPr>
      <w:r>
        <w:rPr>
          <w:sz w:val="20"/>
        </w:rPr>
        <w:t>Party-appointed arbitrator in ICC proceedings relating to the commodity trading between a Hong Kong party and a Middle Eastern</w:t>
      </w:r>
      <w:r>
        <w:rPr>
          <w:spacing w:val="1"/>
          <w:sz w:val="20"/>
        </w:rPr>
        <w:t xml:space="preserve"> </w:t>
      </w:r>
      <w:r>
        <w:rPr>
          <w:sz w:val="20"/>
        </w:rPr>
        <w:t>party</w:t>
      </w:r>
    </w:p>
    <w:p w14:paraId="2AFA4E30" w14:textId="77777777" w:rsidR="00B17407" w:rsidRDefault="00B17407">
      <w:pPr>
        <w:pStyle w:val="BodyText"/>
        <w:spacing w:before="1"/>
        <w:ind w:left="0"/>
        <w:rPr>
          <w:sz w:val="25"/>
        </w:rPr>
      </w:pPr>
    </w:p>
    <w:p w14:paraId="5F964075" w14:textId="77777777" w:rsidR="00B17407" w:rsidRPr="00E10225" w:rsidRDefault="00025064" w:rsidP="00E10225">
      <w:pPr>
        <w:pStyle w:val="Heading2"/>
        <w:spacing w:before="68"/>
        <w:ind w:left="0"/>
        <w:rPr>
          <w:u w:val="thick"/>
        </w:rPr>
      </w:pPr>
      <w:r w:rsidRPr="00E10225">
        <w:rPr>
          <w:u w:val="thick"/>
        </w:rPr>
        <w:t>C</w:t>
      </w:r>
      <w:r>
        <w:rPr>
          <w:u w:val="thick"/>
        </w:rPr>
        <w:t>redentials as counsel</w:t>
      </w:r>
    </w:p>
    <w:p w14:paraId="2233AB1D" w14:textId="77777777" w:rsidR="00B17407" w:rsidRDefault="00025064">
      <w:pPr>
        <w:pStyle w:val="Heading3"/>
        <w:spacing w:before="130"/>
      </w:pPr>
      <w:r>
        <w:t>China-related</w:t>
      </w:r>
    </w:p>
    <w:p w14:paraId="33382C83" w14:textId="77777777" w:rsidR="008E16D0" w:rsidRPr="008E16D0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21" w:line="357" w:lineRule="auto"/>
        <w:ind w:right="980" w:hanging="360"/>
        <w:rPr>
          <w:sz w:val="20"/>
        </w:rPr>
      </w:pPr>
      <w:r w:rsidRPr="008E16D0">
        <w:rPr>
          <w:sz w:val="20"/>
        </w:rPr>
        <w:t>Representing a major Chinese energy state-owned enterprise as claimant against its joint venture partner in a multi-</w:t>
      </w:r>
      <w:proofErr w:type="gramStart"/>
      <w:r w:rsidRPr="008E16D0">
        <w:rPr>
          <w:sz w:val="20"/>
        </w:rPr>
        <w:t>billion dollar</w:t>
      </w:r>
      <w:proofErr w:type="gramEnd"/>
      <w:r w:rsidRPr="008E16D0">
        <w:rPr>
          <w:sz w:val="20"/>
        </w:rPr>
        <w:t xml:space="preserve"> arbitration administered by </w:t>
      </w:r>
      <w:proofErr w:type="spellStart"/>
      <w:r w:rsidRPr="008E16D0">
        <w:rPr>
          <w:sz w:val="20"/>
        </w:rPr>
        <w:t>SIAC</w:t>
      </w:r>
      <w:proofErr w:type="spellEnd"/>
      <w:r w:rsidRPr="008E16D0">
        <w:rPr>
          <w:sz w:val="20"/>
        </w:rPr>
        <w:t xml:space="preserve">. At US$5.5 billion, this is the largest claim ever filed at </w:t>
      </w:r>
      <w:proofErr w:type="spellStart"/>
      <w:r w:rsidRPr="008E16D0">
        <w:rPr>
          <w:sz w:val="20"/>
        </w:rPr>
        <w:t>SIAC</w:t>
      </w:r>
      <w:proofErr w:type="spellEnd"/>
      <w:r w:rsidRPr="008E16D0">
        <w:rPr>
          <w:sz w:val="20"/>
        </w:rPr>
        <w:t xml:space="preserve">  </w:t>
      </w:r>
    </w:p>
    <w:p w14:paraId="0D10612E" w14:textId="77777777" w:rsidR="00B17407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21" w:line="357" w:lineRule="auto"/>
        <w:ind w:right="980"/>
        <w:rPr>
          <w:sz w:val="20"/>
        </w:rPr>
      </w:pPr>
      <w:r w:rsidRPr="008E16D0">
        <w:rPr>
          <w:sz w:val="20"/>
        </w:rPr>
        <w:tab/>
        <w:t xml:space="preserve">Representing </w:t>
      </w:r>
      <w:r w:rsidR="00025064">
        <w:rPr>
          <w:sz w:val="20"/>
        </w:rPr>
        <w:t xml:space="preserve">a petrochemicals manufacturer defending a </w:t>
      </w:r>
      <w:proofErr w:type="spellStart"/>
      <w:r w:rsidR="00025064">
        <w:rPr>
          <w:spacing w:val="-3"/>
          <w:sz w:val="20"/>
        </w:rPr>
        <w:t>CIETAC</w:t>
      </w:r>
      <w:proofErr w:type="spellEnd"/>
      <w:r w:rsidR="00025064">
        <w:rPr>
          <w:spacing w:val="-3"/>
          <w:sz w:val="20"/>
        </w:rPr>
        <w:t xml:space="preserve"> </w:t>
      </w:r>
      <w:r w:rsidR="00025064">
        <w:rPr>
          <w:sz w:val="20"/>
        </w:rPr>
        <w:t>arbitration for breach of a licensing agreement licensing use of petrochemical plant</w:t>
      </w:r>
      <w:r w:rsidR="00025064">
        <w:rPr>
          <w:spacing w:val="-3"/>
          <w:sz w:val="20"/>
        </w:rPr>
        <w:t xml:space="preserve"> </w:t>
      </w:r>
      <w:r w:rsidR="00025064">
        <w:rPr>
          <w:sz w:val="20"/>
        </w:rPr>
        <w:t>technology</w:t>
      </w:r>
    </w:p>
    <w:p w14:paraId="486CCF0B" w14:textId="77777777" w:rsidR="00B17407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3"/>
        <w:rPr>
          <w:sz w:val="20"/>
        </w:rPr>
      </w:pPr>
      <w:r w:rsidRPr="008E16D0">
        <w:rPr>
          <w:sz w:val="20"/>
        </w:rPr>
        <w:tab/>
        <w:t xml:space="preserve">Representing </w:t>
      </w:r>
      <w:r w:rsidR="00025064">
        <w:rPr>
          <w:sz w:val="20"/>
        </w:rPr>
        <w:t xml:space="preserve">a financial institution as respondent in a </w:t>
      </w:r>
      <w:proofErr w:type="spellStart"/>
      <w:r w:rsidR="00025064">
        <w:rPr>
          <w:spacing w:val="-3"/>
          <w:sz w:val="20"/>
        </w:rPr>
        <w:t>CIETAC</w:t>
      </w:r>
      <w:proofErr w:type="spellEnd"/>
      <w:r w:rsidR="00025064">
        <w:rPr>
          <w:spacing w:val="-3"/>
          <w:sz w:val="20"/>
        </w:rPr>
        <w:t xml:space="preserve"> </w:t>
      </w:r>
      <w:r w:rsidR="00025064">
        <w:rPr>
          <w:sz w:val="20"/>
        </w:rPr>
        <w:t>arbitration relating to a failed</w:t>
      </w:r>
      <w:r w:rsidR="00025064">
        <w:rPr>
          <w:spacing w:val="-13"/>
          <w:sz w:val="20"/>
        </w:rPr>
        <w:t xml:space="preserve"> </w:t>
      </w:r>
      <w:r w:rsidR="00025064">
        <w:rPr>
          <w:sz w:val="20"/>
        </w:rPr>
        <w:t>investment</w:t>
      </w:r>
    </w:p>
    <w:p w14:paraId="114FAEB8" w14:textId="77777777" w:rsidR="00B17407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14" w:line="369" w:lineRule="auto"/>
        <w:ind w:right="485"/>
        <w:rPr>
          <w:sz w:val="20"/>
        </w:rPr>
      </w:pPr>
      <w:r w:rsidRPr="008E16D0">
        <w:rPr>
          <w:sz w:val="20"/>
        </w:rPr>
        <w:tab/>
        <w:t xml:space="preserve">Representing </w:t>
      </w:r>
      <w:r w:rsidR="00025064">
        <w:rPr>
          <w:sz w:val="20"/>
        </w:rPr>
        <w:t xml:space="preserve">a subsidiary of a PRC state-owned corporation in an </w:t>
      </w:r>
      <w:proofErr w:type="spellStart"/>
      <w:r w:rsidR="00025064">
        <w:rPr>
          <w:sz w:val="20"/>
        </w:rPr>
        <w:t>SIAC</w:t>
      </w:r>
      <w:proofErr w:type="spellEnd"/>
      <w:r w:rsidR="00025064">
        <w:rPr>
          <w:sz w:val="20"/>
        </w:rPr>
        <w:t xml:space="preserve"> rules arbitration and defending claims brought by a European company for breach of a confidentiality agreement, concerning the alleged use of the European company's proprietary information in the construction of an engineering project in mainland</w:t>
      </w:r>
      <w:r w:rsidR="00025064">
        <w:rPr>
          <w:spacing w:val="-5"/>
          <w:sz w:val="20"/>
        </w:rPr>
        <w:t xml:space="preserve"> </w:t>
      </w:r>
      <w:r w:rsidR="00025064">
        <w:rPr>
          <w:sz w:val="20"/>
        </w:rPr>
        <w:t>China</w:t>
      </w:r>
    </w:p>
    <w:p w14:paraId="38EE7487" w14:textId="77777777" w:rsidR="00B17407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357" w:lineRule="auto"/>
        <w:ind w:right="1142"/>
        <w:rPr>
          <w:sz w:val="20"/>
        </w:rPr>
      </w:pPr>
      <w:r w:rsidRPr="008E16D0">
        <w:rPr>
          <w:sz w:val="20"/>
        </w:rPr>
        <w:tab/>
        <w:t xml:space="preserve">Representing </w:t>
      </w:r>
      <w:r w:rsidR="00025064">
        <w:rPr>
          <w:sz w:val="20"/>
        </w:rPr>
        <w:t xml:space="preserve">a Chinese </w:t>
      </w:r>
      <w:proofErr w:type="spellStart"/>
      <w:r w:rsidR="00025064">
        <w:rPr>
          <w:sz w:val="20"/>
        </w:rPr>
        <w:t>SOE</w:t>
      </w:r>
      <w:proofErr w:type="spellEnd"/>
      <w:r w:rsidR="00025064">
        <w:rPr>
          <w:sz w:val="20"/>
        </w:rPr>
        <w:t xml:space="preserve"> on defending an ad hoc Hong Kong seated arbitration concerned with commission entitlements relating to the acquisition of two Nigerian power</w:t>
      </w:r>
      <w:r w:rsidR="00025064">
        <w:rPr>
          <w:spacing w:val="-16"/>
          <w:sz w:val="20"/>
        </w:rPr>
        <w:t xml:space="preserve"> </w:t>
      </w:r>
      <w:r w:rsidR="00025064">
        <w:rPr>
          <w:sz w:val="20"/>
        </w:rPr>
        <w:t>projects</w:t>
      </w:r>
    </w:p>
    <w:p w14:paraId="2EF934EA" w14:textId="77777777" w:rsidR="00B17407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553"/>
        <w:rPr>
          <w:sz w:val="20"/>
        </w:rPr>
      </w:pPr>
      <w:r w:rsidRPr="008E16D0">
        <w:rPr>
          <w:sz w:val="20"/>
        </w:rPr>
        <w:tab/>
        <w:t xml:space="preserve">Representing </w:t>
      </w:r>
      <w:r w:rsidR="00025064">
        <w:rPr>
          <w:sz w:val="20"/>
        </w:rPr>
        <w:t xml:space="preserve">a Chinese corporation in an arbitration in Hong Kong (Chinese language proceedings) under </w:t>
      </w:r>
      <w:proofErr w:type="spellStart"/>
      <w:r w:rsidR="00025064">
        <w:rPr>
          <w:sz w:val="20"/>
        </w:rPr>
        <w:t>UNCITRAL</w:t>
      </w:r>
      <w:proofErr w:type="spellEnd"/>
      <w:r w:rsidR="00025064">
        <w:rPr>
          <w:sz w:val="20"/>
        </w:rPr>
        <w:t xml:space="preserve"> Rules in relation to a software licensing</w:t>
      </w:r>
      <w:r w:rsidR="00025064">
        <w:rPr>
          <w:spacing w:val="-11"/>
          <w:sz w:val="20"/>
        </w:rPr>
        <w:t xml:space="preserve"> </w:t>
      </w:r>
      <w:r w:rsidR="00025064">
        <w:rPr>
          <w:sz w:val="20"/>
        </w:rPr>
        <w:t>dispute</w:t>
      </w:r>
    </w:p>
    <w:p w14:paraId="296FAEA1" w14:textId="77777777" w:rsidR="00B17407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865"/>
        <w:rPr>
          <w:sz w:val="20"/>
        </w:rPr>
      </w:pPr>
      <w:r w:rsidRPr="008E16D0">
        <w:rPr>
          <w:sz w:val="20"/>
        </w:rPr>
        <w:tab/>
        <w:t xml:space="preserve">Representing </w:t>
      </w:r>
      <w:r w:rsidR="00025064">
        <w:rPr>
          <w:sz w:val="20"/>
        </w:rPr>
        <w:t>a leading hotel management company in multiple arbitration proceedings filed in ICC and HKIAC relating to breaches of hotel management agreements by hotel owners in</w:t>
      </w:r>
      <w:r w:rsidR="00025064">
        <w:rPr>
          <w:spacing w:val="-24"/>
          <w:sz w:val="20"/>
        </w:rPr>
        <w:t xml:space="preserve"> </w:t>
      </w:r>
      <w:r w:rsidR="00025064">
        <w:rPr>
          <w:sz w:val="20"/>
        </w:rPr>
        <w:t>China</w:t>
      </w:r>
    </w:p>
    <w:p w14:paraId="3C8B241D" w14:textId="77777777" w:rsidR="00B17407" w:rsidRDefault="00025064">
      <w:pPr>
        <w:pStyle w:val="Heading3"/>
      </w:pPr>
      <w:r>
        <w:t>Others</w:t>
      </w:r>
    </w:p>
    <w:p w14:paraId="40F54D45" w14:textId="77777777" w:rsidR="008E16D0" w:rsidRPr="008E16D0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865"/>
        <w:rPr>
          <w:sz w:val="20"/>
        </w:rPr>
      </w:pPr>
      <w:r w:rsidRPr="008E16D0">
        <w:rPr>
          <w:sz w:val="20"/>
        </w:rPr>
        <w:t xml:space="preserve">Representing Malaysian telecoms giant Axiata on its BIT claim against Nepal over the state's tax demand in connection with Axiata's acquisition of mobile telco </w:t>
      </w:r>
      <w:proofErr w:type="spellStart"/>
      <w:r w:rsidRPr="008E16D0">
        <w:rPr>
          <w:sz w:val="20"/>
        </w:rPr>
        <w:t>Ncell</w:t>
      </w:r>
      <w:proofErr w:type="spellEnd"/>
      <w:r w:rsidRPr="008E16D0">
        <w:rPr>
          <w:sz w:val="20"/>
        </w:rPr>
        <w:t xml:space="preserve"> from TeliaSonera</w:t>
      </w:r>
    </w:p>
    <w:p w14:paraId="1DA216A7" w14:textId="77777777" w:rsidR="00B17407" w:rsidRPr="008E16D0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865"/>
        <w:rPr>
          <w:sz w:val="20"/>
        </w:rPr>
      </w:pPr>
      <w:r w:rsidRPr="008E16D0">
        <w:rPr>
          <w:sz w:val="20"/>
        </w:rPr>
        <w:tab/>
        <w:t xml:space="preserve">Representing </w:t>
      </w:r>
      <w:r w:rsidR="00025064" w:rsidRPr="008E16D0">
        <w:rPr>
          <w:sz w:val="20"/>
        </w:rPr>
        <w:t xml:space="preserve">a Canadian energy company in an ICC arbitration claim arising out of the sale and purchase of a Kazakhstan LLP whose primary assets were </w:t>
      </w:r>
      <w:proofErr w:type="spellStart"/>
      <w:r w:rsidR="00025064" w:rsidRPr="008E16D0">
        <w:rPr>
          <w:sz w:val="20"/>
        </w:rPr>
        <w:t>licences</w:t>
      </w:r>
      <w:proofErr w:type="spellEnd"/>
      <w:r w:rsidR="00025064" w:rsidRPr="008E16D0">
        <w:rPr>
          <w:sz w:val="20"/>
        </w:rPr>
        <w:t xml:space="preserve"> to produce three oil fields in the Caspian, and in a related freezing injunction application in the English High Court</w:t>
      </w:r>
    </w:p>
    <w:p w14:paraId="6E4BBC30" w14:textId="77777777" w:rsidR="00B17407" w:rsidRPr="008E16D0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865"/>
        <w:rPr>
          <w:sz w:val="20"/>
        </w:rPr>
      </w:pPr>
      <w:r w:rsidRPr="008E16D0">
        <w:rPr>
          <w:sz w:val="20"/>
        </w:rPr>
        <w:lastRenderedPageBreak/>
        <w:tab/>
        <w:t xml:space="preserve">Representing </w:t>
      </w:r>
      <w:r w:rsidR="00025064" w:rsidRPr="008E16D0">
        <w:rPr>
          <w:sz w:val="20"/>
        </w:rPr>
        <w:t>BP and Rio Tinto in an ICSID</w:t>
      </w:r>
      <w:r>
        <w:rPr>
          <w:sz w:val="20"/>
        </w:rPr>
        <w:t xml:space="preserve"> </w:t>
      </w:r>
      <w:r w:rsidR="00025064" w:rsidRPr="008E16D0">
        <w:rPr>
          <w:sz w:val="20"/>
        </w:rPr>
        <w:t>arbitration brought by the Provincial Government of East Kalimantan over a coal mining concession contract</w:t>
      </w:r>
    </w:p>
    <w:p w14:paraId="6A7F6E21" w14:textId="19BB3E0D" w:rsidR="00B17407" w:rsidRDefault="008E16D0" w:rsidP="008E16D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357" w:lineRule="auto"/>
        <w:ind w:right="865"/>
        <w:rPr>
          <w:sz w:val="20"/>
        </w:rPr>
      </w:pPr>
      <w:r w:rsidRPr="008E16D0">
        <w:rPr>
          <w:sz w:val="20"/>
        </w:rPr>
        <w:tab/>
        <w:t xml:space="preserve">Representing </w:t>
      </w:r>
      <w:r w:rsidR="00025064" w:rsidRPr="008E16D0">
        <w:rPr>
          <w:sz w:val="20"/>
        </w:rPr>
        <w:t xml:space="preserve">Telekom Malaysia in an </w:t>
      </w:r>
      <w:proofErr w:type="spellStart"/>
      <w:r w:rsidR="00025064" w:rsidRPr="008E16D0">
        <w:rPr>
          <w:sz w:val="20"/>
        </w:rPr>
        <w:t>UNCITRAL</w:t>
      </w:r>
      <w:proofErr w:type="spellEnd"/>
      <w:r w:rsidR="00025064" w:rsidRPr="008E16D0">
        <w:rPr>
          <w:sz w:val="20"/>
        </w:rPr>
        <w:t xml:space="preserve"> arbitration against the Government of Ghana for improper regulatory interference with and expropriation of Telekom’s investments in Ghana and related domestic Ghanaian court proceedings. the Barbados Government in a Part XV and Annex VII UNCLOS (United Nations Convention on the Law of the Sea)</w:t>
      </w:r>
      <w:r w:rsidR="00025064">
        <w:rPr>
          <w:sz w:val="20"/>
        </w:rPr>
        <w:t xml:space="preserve"> </w:t>
      </w:r>
      <w:r w:rsidR="00025064" w:rsidRPr="008E16D0">
        <w:rPr>
          <w:sz w:val="20"/>
        </w:rPr>
        <w:t>arbitration against Trinidad relating to maritime delimitation and hydrocarbon rights</w:t>
      </w:r>
    </w:p>
    <w:p w14:paraId="3F482EE5" w14:textId="3DE237E5" w:rsidR="00BF508C" w:rsidRDefault="00BF508C" w:rsidP="00BF508C">
      <w:pPr>
        <w:pStyle w:val="ListParagraph"/>
        <w:tabs>
          <w:tab w:val="left" w:pos="820"/>
          <w:tab w:val="left" w:pos="821"/>
        </w:tabs>
        <w:spacing w:line="357" w:lineRule="auto"/>
        <w:ind w:right="865" w:firstLine="0"/>
        <w:rPr>
          <w:sz w:val="20"/>
        </w:rPr>
      </w:pPr>
    </w:p>
    <w:p w14:paraId="2A87329F" w14:textId="1FADBCDB" w:rsidR="00BF508C" w:rsidRDefault="00BF508C" w:rsidP="00BF508C">
      <w:pPr>
        <w:pStyle w:val="ListParagraph"/>
        <w:tabs>
          <w:tab w:val="left" w:pos="820"/>
          <w:tab w:val="left" w:pos="821"/>
        </w:tabs>
        <w:spacing w:line="357" w:lineRule="auto"/>
        <w:ind w:right="865" w:firstLine="0"/>
        <w:rPr>
          <w:sz w:val="20"/>
        </w:rPr>
      </w:pPr>
    </w:p>
    <w:p w14:paraId="6732CEC9" w14:textId="2333DBD3" w:rsidR="00BF508C" w:rsidRDefault="00BF508C" w:rsidP="00BF508C">
      <w:pPr>
        <w:pStyle w:val="ListParagraph"/>
        <w:tabs>
          <w:tab w:val="left" w:pos="820"/>
          <w:tab w:val="left" w:pos="821"/>
        </w:tabs>
        <w:spacing w:line="357" w:lineRule="auto"/>
        <w:ind w:right="865" w:firstLine="0"/>
        <w:rPr>
          <w:sz w:val="20"/>
        </w:rPr>
      </w:pPr>
    </w:p>
    <w:p w14:paraId="1784E939" w14:textId="60F3F2B1" w:rsidR="00BF508C" w:rsidRDefault="00BF508C" w:rsidP="00BF508C">
      <w:pPr>
        <w:pStyle w:val="ListParagraph"/>
        <w:tabs>
          <w:tab w:val="left" w:pos="820"/>
          <w:tab w:val="left" w:pos="821"/>
        </w:tabs>
        <w:spacing w:line="357" w:lineRule="auto"/>
        <w:ind w:right="865" w:firstLine="0"/>
        <w:rPr>
          <w:sz w:val="20"/>
        </w:rPr>
      </w:pPr>
    </w:p>
    <w:p w14:paraId="09B258FB" w14:textId="1CCEFB93" w:rsidR="00BF508C" w:rsidRPr="008E16D0" w:rsidRDefault="00BF508C" w:rsidP="00BF508C">
      <w:pPr>
        <w:pStyle w:val="ListParagraph"/>
        <w:tabs>
          <w:tab w:val="left" w:pos="820"/>
          <w:tab w:val="left" w:pos="821"/>
        </w:tabs>
        <w:spacing w:line="357" w:lineRule="auto"/>
        <w:ind w:right="865" w:firstLine="0"/>
        <w:rPr>
          <w:sz w:val="20"/>
        </w:rPr>
      </w:pPr>
    </w:p>
    <w:sectPr w:rsidR="00BF508C" w:rsidRPr="008E16D0">
      <w:footerReference w:type="even" r:id="rId10"/>
      <w:footerReference w:type="default" r:id="rId11"/>
      <w:footerReference w:type="first" r:id="rId12"/>
      <w:pgSz w:w="11910" w:h="16840"/>
      <w:pgMar w:top="1420" w:right="1020" w:bottom="1140" w:left="13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52425" w14:textId="77777777" w:rsidR="00374910" w:rsidRDefault="00374910">
      <w:r>
        <w:separator/>
      </w:r>
    </w:p>
  </w:endnote>
  <w:endnote w:type="continuationSeparator" w:id="0">
    <w:p w14:paraId="6211CCE4" w14:textId="77777777" w:rsidR="00374910" w:rsidRDefault="0037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Kaiti">
    <w:panose1 w:val="02010600040101010101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6E59A" w14:textId="10DE935A" w:rsidR="00BF508C" w:rsidRPr="00BF508C" w:rsidRDefault="00374910" w:rsidP="00BF508C">
    <w:pPr>
      <w:pStyle w:val="Footer"/>
      <w:tabs>
        <w:tab w:val="clear" w:pos="4153"/>
        <w:tab w:val="clear" w:pos="8306"/>
        <w:tab w:val="right" w:pos="8787"/>
      </w:tabs>
    </w:pPr>
    <w:sdt>
      <w:sdtPr>
        <w:rPr>
          <w:szCs w:val="14"/>
        </w:rPr>
        <w:tag w:val="cciManRef"/>
        <w:id w:val="1798943398"/>
        <w:lock w:val="sdtLocked"/>
        <w:dataBinding w:prefixMappings="xmlns:hs='urn:HerbertSmith.Office.Word.Global'" w:xpath="//hs:root/iManRef" w:storeItemID="{767E0AD5-3110-43F4-9CF8-0698435CA072}"/>
        <w:text/>
      </w:sdtPr>
      <w:sdtEndPr/>
      <w:sdtContent>
        <w:r w:rsidR="00BF508C">
          <w:rPr>
            <w:szCs w:val="14"/>
          </w:rPr>
          <w:t>04/17902510_1</w:t>
        </w:r>
      </w:sdtContent>
    </w:sdt>
    <w:r w:rsidR="00BF508C">
      <w:rPr>
        <w:szCs w:val="14"/>
      </w:rPr>
      <w:ptab w:relativeTo="margin" w:alignment="right" w:leader="none"/>
    </w:r>
    <w:r w:rsidR="00BF508C">
      <w:fldChar w:fldCharType="begin"/>
    </w:r>
    <w:r w:rsidR="00BF508C">
      <w:rPr>
        <w:rStyle w:val="HeaderChar"/>
        <w:szCs w:val="14"/>
      </w:rPr>
      <w:instrText xml:space="preserve"> PAGE \* MERGEFORMAT </w:instrText>
    </w:r>
    <w:r w:rsidR="00BF508C">
      <w:fldChar w:fldCharType="separate"/>
    </w:r>
    <w:r w:rsidR="00BF508C">
      <w:rPr>
        <w:rStyle w:val="HeaderChar"/>
        <w:noProof/>
        <w:szCs w:val="14"/>
      </w:rPr>
      <w:t>1</w:t>
    </w:r>
    <w:r w:rsidR="00BF508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2011E" w14:textId="15EC9D26" w:rsidR="00B17407" w:rsidRPr="00BF508C" w:rsidRDefault="00374910" w:rsidP="00BF508C">
    <w:pPr>
      <w:pStyle w:val="Footer"/>
      <w:tabs>
        <w:tab w:val="clear" w:pos="4153"/>
        <w:tab w:val="clear" w:pos="8306"/>
        <w:tab w:val="right" w:pos="8787"/>
      </w:tabs>
    </w:pPr>
    <w:sdt>
      <w:sdtPr>
        <w:rPr>
          <w:szCs w:val="14"/>
        </w:rPr>
        <w:tag w:val="cciManRef"/>
        <w:id w:val="1544098434"/>
        <w:lock w:val="sdtLocked"/>
        <w:dataBinding w:prefixMappings="xmlns:hs='urn:HerbertSmith.Office.Word.Global'" w:xpath="//hs:root/iManRef" w:storeItemID="{767E0AD5-3110-43F4-9CF8-0698435CA072}"/>
        <w:text/>
      </w:sdtPr>
      <w:sdtEndPr/>
      <w:sdtContent>
        <w:r w:rsidR="00BF508C">
          <w:rPr>
            <w:szCs w:val="14"/>
          </w:rPr>
          <w:t>04/17902510_1</w:t>
        </w:r>
      </w:sdtContent>
    </w:sdt>
    <w:r w:rsidR="00BF508C">
      <w:rPr>
        <w:szCs w:val="14"/>
      </w:rPr>
      <w:ptab w:relativeTo="margin" w:alignment="right" w:leader="none"/>
    </w:r>
    <w:r w:rsidR="00BF508C">
      <w:fldChar w:fldCharType="begin"/>
    </w:r>
    <w:r w:rsidR="00BF508C">
      <w:rPr>
        <w:rStyle w:val="HeaderChar"/>
        <w:szCs w:val="14"/>
      </w:rPr>
      <w:instrText xml:space="preserve"> PAGE \* MERGEFORMAT </w:instrText>
    </w:r>
    <w:r w:rsidR="00BF508C">
      <w:fldChar w:fldCharType="separate"/>
    </w:r>
    <w:r w:rsidR="00BF508C">
      <w:rPr>
        <w:rStyle w:val="HeaderChar"/>
        <w:noProof/>
        <w:szCs w:val="14"/>
      </w:rPr>
      <w:t>1</w:t>
    </w:r>
    <w:r w:rsidR="00BF50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4B842" w14:textId="140ADC91" w:rsidR="00BF508C" w:rsidRPr="00BF508C" w:rsidRDefault="00374910" w:rsidP="00BF508C">
    <w:pPr>
      <w:pStyle w:val="Footer"/>
      <w:tabs>
        <w:tab w:val="clear" w:pos="4153"/>
        <w:tab w:val="clear" w:pos="8306"/>
        <w:tab w:val="right" w:pos="8787"/>
      </w:tabs>
    </w:pPr>
    <w:sdt>
      <w:sdtPr>
        <w:rPr>
          <w:szCs w:val="14"/>
        </w:rPr>
        <w:tag w:val="cciManRef"/>
        <w:id w:val="952822359"/>
        <w:lock w:val="sdtLocked"/>
        <w:dataBinding w:prefixMappings="xmlns:hs='urn:HerbertSmith.Office.Word.Global'" w:xpath="//hs:root/iManRef" w:storeItemID="{767E0AD5-3110-43F4-9CF8-0698435CA072}"/>
        <w:text/>
      </w:sdtPr>
      <w:sdtEndPr/>
      <w:sdtContent>
        <w:r w:rsidR="00BF508C">
          <w:rPr>
            <w:szCs w:val="14"/>
          </w:rPr>
          <w:t>04/17902510_1</w:t>
        </w:r>
      </w:sdtContent>
    </w:sdt>
    <w:r w:rsidR="00BF508C">
      <w:rPr>
        <w:szCs w:val="14"/>
      </w:rPr>
      <w:ptab w:relativeTo="margin" w:alignment="right" w:leader="none"/>
    </w:r>
    <w:r w:rsidR="00BF508C">
      <w:fldChar w:fldCharType="begin"/>
    </w:r>
    <w:r w:rsidR="00BF508C">
      <w:rPr>
        <w:rStyle w:val="HeaderChar"/>
        <w:szCs w:val="14"/>
      </w:rPr>
      <w:instrText xml:space="preserve"> PAGE \* MERGEFORMAT </w:instrText>
    </w:r>
    <w:r w:rsidR="00BF508C">
      <w:fldChar w:fldCharType="separate"/>
    </w:r>
    <w:r w:rsidR="00BF508C">
      <w:rPr>
        <w:rStyle w:val="HeaderChar"/>
        <w:noProof/>
        <w:szCs w:val="14"/>
      </w:rPr>
      <w:t>1</w:t>
    </w:r>
    <w:r w:rsidR="00BF50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7B7BF" w14:textId="77777777" w:rsidR="00374910" w:rsidRDefault="00374910">
      <w:r>
        <w:separator/>
      </w:r>
    </w:p>
  </w:footnote>
  <w:footnote w:type="continuationSeparator" w:id="0">
    <w:p w14:paraId="7770D8F9" w14:textId="77777777" w:rsidR="00374910" w:rsidRDefault="00374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91807"/>
    <w:multiLevelType w:val="hybridMultilevel"/>
    <w:tmpl w:val="EBD4DF1A"/>
    <w:lvl w:ilvl="0" w:tplc="943AF3EA">
      <w:numFmt w:val="bullet"/>
      <w:lvlText w:val="-"/>
      <w:lvlJc w:val="left"/>
      <w:pPr>
        <w:ind w:left="580" w:hanging="481"/>
      </w:pPr>
      <w:rPr>
        <w:rFonts w:ascii="Arial" w:eastAsia="Arial" w:hAnsi="Arial" w:cs="Arial" w:hint="default"/>
        <w:w w:val="99"/>
        <w:sz w:val="20"/>
        <w:szCs w:val="20"/>
      </w:rPr>
    </w:lvl>
    <w:lvl w:ilvl="1" w:tplc="F28C7030">
      <w:numFmt w:val="bullet"/>
      <w:lvlText w:val="•"/>
      <w:lvlJc w:val="left"/>
      <w:pPr>
        <w:ind w:left="1476" w:hanging="481"/>
      </w:pPr>
      <w:rPr>
        <w:rFonts w:hint="default"/>
      </w:rPr>
    </w:lvl>
    <w:lvl w:ilvl="2" w:tplc="84E269AA">
      <w:numFmt w:val="bullet"/>
      <w:lvlText w:val="•"/>
      <w:lvlJc w:val="left"/>
      <w:pPr>
        <w:ind w:left="2373" w:hanging="481"/>
      </w:pPr>
      <w:rPr>
        <w:rFonts w:hint="default"/>
      </w:rPr>
    </w:lvl>
    <w:lvl w:ilvl="3" w:tplc="192282F0">
      <w:numFmt w:val="bullet"/>
      <w:lvlText w:val="•"/>
      <w:lvlJc w:val="left"/>
      <w:pPr>
        <w:ind w:left="3269" w:hanging="481"/>
      </w:pPr>
      <w:rPr>
        <w:rFonts w:hint="default"/>
      </w:rPr>
    </w:lvl>
    <w:lvl w:ilvl="4" w:tplc="9B909060">
      <w:numFmt w:val="bullet"/>
      <w:lvlText w:val="•"/>
      <w:lvlJc w:val="left"/>
      <w:pPr>
        <w:ind w:left="4166" w:hanging="481"/>
      </w:pPr>
      <w:rPr>
        <w:rFonts w:hint="default"/>
      </w:rPr>
    </w:lvl>
    <w:lvl w:ilvl="5" w:tplc="4CDC2AB4">
      <w:numFmt w:val="bullet"/>
      <w:lvlText w:val="•"/>
      <w:lvlJc w:val="left"/>
      <w:pPr>
        <w:ind w:left="5063" w:hanging="481"/>
      </w:pPr>
      <w:rPr>
        <w:rFonts w:hint="default"/>
      </w:rPr>
    </w:lvl>
    <w:lvl w:ilvl="6" w:tplc="8B68A7EC">
      <w:numFmt w:val="bullet"/>
      <w:lvlText w:val="•"/>
      <w:lvlJc w:val="left"/>
      <w:pPr>
        <w:ind w:left="5959" w:hanging="481"/>
      </w:pPr>
      <w:rPr>
        <w:rFonts w:hint="default"/>
      </w:rPr>
    </w:lvl>
    <w:lvl w:ilvl="7" w:tplc="835E485A">
      <w:numFmt w:val="bullet"/>
      <w:lvlText w:val="•"/>
      <w:lvlJc w:val="left"/>
      <w:pPr>
        <w:ind w:left="6856" w:hanging="481"/>
      </w:pPr>
      <w:rPr>
        <w:rFonts w:hint="default"/>
      </w:rPr>
    </w:lvl>
    <w:lvl w:ilvl="8" w:tplc="339AEE8E">
      <w:numFmt w:val="bullet"/>
      <w:lvlText w:val="•"/>
      <w:lvlJc w:val="left"/>
      <w:pPr>
        <w:ind w:left="7753" w:hanging="481"/>
      </w:pPr>
      <w:rPr>
        <w:rFonts w:hint="default"/>
      </w:rPr>
    </w:lvl>
  </w:abstractNum>
  <w:abstractNum w:abstractNumId="1" w15:restartNumberingAfterBreak="0">
    <w:nsid w:val="3D2C04A6"/>
    <w:multiLevelType w:val="singleLevel"/>
    <w:tmpl w:val="E23466A0"/>
    <w:lvl w:ilvl="0">
      <w:start w:val="1"/>
      <w:numFmt w:val="bullet"/>
      <w:pStyle w:val="ProfileBullet"/>
      <w:lvlText w:val=""/>
      <w:lvlJc w:val="left"/>
      <w:pPr>
        <w:tabs>
          <w:tab w:val="num" w:pos="352"/>
        </w:tabs>
        <w:ind w:left="352" w:hanging="352"/>
      </w:pPr>
      <w:rPr>
        <w:rFonts w:ascii="Symbol" w:hAnsi="Symbol" w:hint="default"/>
        <w:color w:val="003366"/>
        <w:sz w:val="18"/>
      </w:rPr>
    </w:lvl>
  </w:abstractNum>
  <w:abstractNum w:abstractNumId="2" w15:restartNumberingAfterBreak="0">
    <w:nsid w:val="501A32C1"/>
    <w:multiLevelType w:val="hybridMultilevel"/>
    <w:tmpl w:val="A4FCE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75EDC"/>
    <w:multiLevelType w:val="hybridMultilevel"/>
    <w:tmpl w:val="D310C58E"/>
    <w:lvl w:ilvl="0" w:tplc="6140338A">
      <w:numFmt w:val="bullet"/>
      <w:lvlText w:val=""/>
      <w:lvlJc w:val="left"/>
      <w:pPr>
        <w:ind w:left="580" w:hanging="48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772AF3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2" w:tplc="37D66DF6">
      <w:numFmt w:val="bullet"/>
      <w:lvlText w:val="•"/>
      <w:lvlJc w:val="left"/>
      <w:pPr>
        <w:ind w:left="1789" w:hanging="361"/>
      </w:pPr>
      <w:rPr>
        <w:rFonts w:hint="default"/>
      </w:rPr>
    </w:lvl>
    <w:lvl w:ilvl="3" w:tplc="F7ECB070">
      <w:numFmt w:val="bullet"/>
      <w:lvlText w:val="•"/>
      <w:lvlJc w:val="left"/>
      <w:pPr>
        <w:ind w:left="2759" w:hanging="361"/>
      </w:pPr>
      <w:rPr>
        <w:rFonts w:hint="default"/>
      </w:rPr>
    </w:lvl>
    <w:lvl w:ilvl="4" w:tplc="3BD8483A">
      <w:numFmt w:val="bullet"/>
      <w:lvlText w:val="•"/>
      <w:lvlJc w:val="left"/>
      <w:pPr>
        <w:ind w:left="3728" w:hanging="361"/>
      </w:pPr>
      <w:rPr>
        <w:rFonts w:hint="default"/>
      </w:rPr>
    </w:lvl>
    <w:lvl w:ilvl="5" w:tplc="3B6649EA">
      <w:numFmt w:val="bullet"/>
      <w:lvlText w:val="•"/>
      <w:lvlJc w:val="left"/>
      <w:pPr>
        <w:ind w:left="4698" w:hanging="361"/>
      </w:pPr>
      <w:rPr>
        <w:rFonts w:hint="default"/>
      </w:rPr>
    </w:lvl>
    <w:lvl w:ilvl="6" w:tplc="EDCC4DC2">
      <w:numFmt w:val="bullet"/>
      <w:lvlText w:val="•"/>
      <w:lvlJc w:val="left"/>
      <w:pPr>
        <w:ind w:left="5668" w:hanging="361"/>
      </w:pPr>
      <w:rPr>
        <w:rFonts w:hint="default"/>
      </w:rPr>
    </w:lvl>
    <w:lvl w:ilvl="7" w:tplc="9C0A9950">
      <w:numFmt w:val="bullet"/>
      <w:lvlText w:val="•"/>
      <w:lvlJc w:val="left"/>
      <w:pPr>
        <w:ind w:left="6637" w:hanging="361"/>
      </w:pPr>
      <w:rPr>
        <w:rFonts w:hint="default"/>
      </w:rPr>
    </w:lvl>
    <w:lvl w:ilvl="8" w:tplc="19B22B66">
      <w:numFmt w:val="bullet"/>
      <w:lvlText w:val="•"/>
      <w:lvlJc w:val="left"/>
      <w:pPr>
        <w:ind w:left="7607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07"/>
    <w:rsid w:val="00025064"/>
    <w:rsid w:val="002122E5"/>
    <w:rsid w:val="00374910"/>
    <w:rsid w:val="00587554"/>
    <w:rsid w:val="006E3DB0"/>
    <w:rsid w:val="008847D5"/>
    <w:rsid w:val="0089090D"/>
    <w:rsid w:val="008E16D0"/>
    <w:rsid w:val="00916D21"/>
    <w:rsid w:val="00A82B41"/>
    <w:rsid w:val="00B17407"/>
    <w:rsid w:val="00BF508C"/>
    <w:rsid w:val="00CC7E41"/>
    <w:rsid w:val="00D22A29"/>
    <w:rsid w:val="00E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FCFCB"/>
  <w15:docId w15:val="{D4EA3742-68E7-4D4A-8363-399CD011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7"/>
      <w:ind w:left="100"/>
      <w:outlineLvl w:val="0"/>
    </w:p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0"/>
      <w:szCs w:val="20"/>
      <w:u w:val="single" w:color="000000"/>
    </w:rPr>
  </w:style>
  <w:style w:type="paragraph" w:styleId="Heading3">
    <w:name w:val="heading 3"/>
    <w:basedOn w:val="Normal"/>
    <w:uiPriority w:val="1"/>
    <w:qFormat/>
    <w:pPr>
      <w:spacing w:before="21"/>
      <w:ind w:left="100"/>
      <w:outlineLvl w:val="2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ofileBulletCharChar">
    <w:name w:val="Profile Bullet Char Char"/>
    <w:basedOn w:val="DefaultParagraphFont"/>
    <w:link w:val="ProfileBullet"/>
    <w:uiPriority w:val="3"/>
    <w:locked/>
    <w:rsid w:val="008E16D0"/>
    <w:rPr>
      <w:rFonts w:ascii="STKaiti" w:hAnsi="STKaiti"/>
      <w:lang w:eastAsia="en-AU"/>
    </w:rPr>
  </w:style>
  <w:style w:type="paragraph" w:customStyle="1" w:styleId="ProfileBullet">
    <w:name w:val="Profile Bullet"/>
    <w:basedOn w:val="Normal"/>
    <w:link w:val="ProfileBulletCharChar"/>
    <w:uiPriority w:val="3"/>
    <w:rsid w:val="008E16D0"/>
    <w:pPr>
      <w:widowControl/>
      <w:numPr>
        <w:numId w:val="3"/>
      </w:numPr>
      <w:autoSpaceDE/>
      <w:autoSpaceDN/>
      <w:spacing w:before="60" w:after="60" w:line="264" w:lineRule="auto"/>
    </w:pPr>
    <w:rPr>
      <w:rFonts w:ascii="STKaiti" w:eastAsiaTheme="minorHAnsi" w:hAnsi="STKaiti" w:cstheme="minorBidi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16D0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16D0"/>
    <w:rPr>
      <w:rFonts w:ascii="Calibr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39"/>
    <w:unhideWhenUsed/>
    <w:rsid w:val="00BF50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39"/>
    <w:rsid w:val="00BF50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F50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08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y.tai@hsf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hs:root xmlns:hs="urn:HerbertSmith.Office.Word.Global">
  <iManRef>04/17902510_1</iManRef>
</hs:root>
</file>

<file path=customXml/itemProps1.xml><?xml version="1.0" encoding="utf-8"?>
<ds:datastoreItem xmlns:ds="http://schemas.openxmlformats.org/officeDocument/2006/customXml" ds:itemID="{767E0AD5-3110-43F4-9CF8-0698435CA072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3870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CV - 2019 11 06 (for HKIAC appointment)</vt:lpstr>
    </vt:vector>
  </TitlesOfParts>
  <Company>Herbert Smith Freehills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- 2019 11 06 (for HKIAC appointment)</dc:title>
  <dc:creator>MFT</dc:creator>
  <cp:lastModifiedBy>Herbert Smith Freehills</cp:lastModifiedBy>
  <cp:revision>2</cp:revision>
  <dcterms:created xsi:type="dcterms:W3CDTF">2022-02-21T09:36:00Z</dcterms:created>
  <dcterms:modified xsi:type="dcterms:W3CDTF">2022-02-21T09:36:00Z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LastSaved">
    <vt:filetime>2021-03-19T00:00:00Z</vt:filetime>
  </property>
</Properties>
</file>